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2CB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18</w:t>
      </w:r>
      <w:r>
        <w:rPr>
          <w:rFonts w:hint="eastAsia"/>
          <w:b/>
          <w:sz w:val="24"/>
          <w:szCs w:val="24"/>
          <w:highlight w:val="none"/>
        </w:rPr>
        <w:t xml:space="preserve">               </w:t>
      </w:r>
      <w:r>
        <w:rPr>
          <w:b/>
          <w:sz w:val="24"/>
          <w:szCs w:val="24"/>
          <w:highlight w:val="none"/>
        </w:rPr>
        <w:t xml:space="preserve">          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600865</w:t>
      </w:r>
      <w:r>
        <w:rPr>
          <w:b/>
          <w:sz w:val="24"/>
          <w:szCs w:val="24"/>
          <w:highlight w:val="none"/>
        </w:rPr>
        <w:t xml:space="preserve">           </w:t>
      </w:r>
    </w:p>
    <w:bookmarkEnd w:id="0"/>
    <w:bookmarkEnd w:id="1"/>
    <w:p w14:paraId="5C25862B">
      <w:pPr>
        <w:pStyle w:val="9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  <w:r>
        <w:rPr>
          <w:rFonts w:hint="eastAsia"/>
          <w:b/>
          <w:sz w:val="24"/>
          <w:szCs w:val="24"/>
          <w:highlight w:val="none"/>
          <w:lang w:eastAsia="zh-CN"/>
        </w:rPr>
        <w:t>Gothenburg, Sweden, Feb. 09-13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,</w:t>
      </w:r>
      <w:r>
        <w:rPr>
          <w:rFonts w:hint="eastAsia" w:eastAsia="宋体" w:cs="Times New Roman"/>
          <w:b/>
          <w:bCs/>
          <w:sz w:val="2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202</w:t>
      </w:r>
      <w:r>
        <w:rPr>
          <w:rFonts w:hint="eastAsia" w:eastAsia="宋体" w:cs="Times New Roman"/>
          <w:b/>
          <w:bCs/>
          <w:sz w:val="24"/>
          <w:highlight w:val="none"/>
          <w:lang w:val="en-US" w:eastAsia="zh-CN"/>
        </w:rPr>
        <w:t>6</w:t>
      </w:r>
    </w:p>
    <w:p w14:paraId="5E1118E0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258FEDE0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6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14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3</w:t>
      </w:r>
      <w:bookmarkStart w:id="8" w:name="_GoBack"/>
      <w:bookmarkEnd w:id="8"/>
    </w:p>
    <w:p w14:paraId="3CDEEB51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1796E118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>RRM performance requirements for A-IoT</w:t>
      </w:r>
    </w:p>
    <w:bookmarkEnd w:id="4"/>
    <w:bookmarkEnd w:id="5"/>
    <w:p w14:paraId="02A05ED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829441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C7735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#107 meeting, the revised WID on Solutions for Ambient IoT (Internet of Things) in NR was approved [1]. According to the WID, the objectives of RAN4 scope are duplicated as following.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06AC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61FAD0BE">
            <w:pPr>
              <w:numPr>
                <w:ilvl w:val="0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ja-JP"/>
              </w:rPr>
              <w:t>RAN4 scope:</w:t>
            </w:r>
          </w:p>
          <w:p w14:paraId="5931C61B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RF requirements for Ambient-IoT BS, device 1, and CW</w:t>
            </w:r>
          </w:p>
          <w:p w14:paraId="08874F73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Type 1-C Ambient-IoT BS</w:t>
            </w:r>
          </w:p>
          <w:p w14:paraId="17215131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device 1</w:t>
            </w:r>
          </w:p>
          <w:p w14:paraId="69775E5A">
            <w:pPr>
              <w:numPr>
                <w:ilvl w:val="2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RF requirements for CW</w:t>
            </w:r>
          </w:p>
          <w:p w14:paraId="173D3E69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Specify RRM core requirements for device 1, if necessary</w:t>
            </w:r>
          </w:p>
          <w:p w14:paraId="47F85BD2">
            <w:pPr>
              <w:numPr>
                <w:ilvl w:val="1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Study and develop OTA test methodology for A-IoT device 1</w:t>
            </w:r>
          </w:p>
          <w:p w14:paraId="534AE075">
            <w:pPr>
              <w:numPr>
                <w:ilvl w:val="2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Consider test methods specified in TR 38.870 as starting point. Take test system reuse, test system complexity and test time into account, when developing test methods suitable for Ambient IoT.</w:t>
            </w:r>
          </w:p>
          <w:p w14:paraId="69BCB3A6">
            <w:pPr>
              <w:numPr>
                <w:ilvl w:val="2"/>
                <w:numId w:val="3"/>
              </w:numP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Develop the preliminary Measurement Uncertainty (MU) assessment for the test system</w:t>
            </w:r>
          </w:p>
          <w:p w14:paraId="5325F8A0">
            <w:pPr>
              <w:numPr>
                <w:ilvl w:val="1"/>
                <w:numId w:val="3"/>
              </w:numPr>
              <w:spacing w:after="120"/>
              <w:ind w:right="-96"/>
              <w:jc w:val="both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lang w:val="en-US" w:eastAsia="zh-CN"/>
              </w:rPr>
              <w:t>Use band n8 as an example band</w:t>
            </w:r>
          </w:p>
        </w:tc>
      </w:tr>
    </w:tbl>
    <w:p w14:paraId="3B02A2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20A48E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discussion on RRM performance requirements for A-IoT device 1, and a WF was approved [2]. This </w:t>
      </w:r>
      <w:r>
        <w:rPr>
          <w:rFonts w:hint="eastAsia" w:ascii="Times New Roman" w:hAnsi="Times New Roman"/>
          <w:sz w:val="20"/>
          <w:szCs w:val="20"/>
        </w:rPr>
        <w:t>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the remaining issues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779163C4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2"/>
      <w:bookmarkStart w:id="7" w:name="OLE_LINK1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604A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756EED67">
            <w:pPr>
              <w:snapToGrid w:val="0"/>
              <w:spacing w:after="120"/>
              <w:rPr>
                <w:rFonts w:hint="default" w:ascii="Times New Roman" w:hAnsi="Times New Roman" w:eastAsia="宋体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>Issue 2-1-1: test procedures for A-IoT RRM test</w:t>
            </w:r>
          </w:p>
          <w:p w14:paraId="316F0600">
            <w:pPr>
              <w:snapToGrid w:val="0"/>
              <w:spacing w:after="120"/>
              <w:ind w:leftChars="100"/>
              <w:rPr>
                <w:rFonts w:hint="default" w:ascii="Times New Roman" w:hAnsi="Times New Roman" w:eastAsia="等线" w:cs="Times New Roman"/>
                <w:b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sz w:val="20"/>
                <w:szCs w:val="20"/>
                <w:highlight w:val="none"/>
                <w:lang w:eastAsia="zh-CN"/>
              </w:rPr>
              <w:t>Agreement:</w:t>
            </w:r>
          </w:p>
          <w:p w14:paraId="0B45F51C">
            <w:pPr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1656" w:leftChars="0" w:hanging="360" w:firstLineChars="0"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  <w:t>Step 1: TE transmits an R2D message carrying A-IoT Paging message with access type as CBRA</w:t>
            </w:r>
          </w:p>
          <w:p w14:paraId="15D8F51D">
            <w:pPr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2376" w:leftChars="0" w:hanging="360" w:firstLineChars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Number of Access Occasions: 1</w:t>
            </w:r>
          </w:p>
          <w:p w14:paraId="3F400704">
            <w:pPr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2376" w:leftChars="0" w:hanging="360" w:firstLineChars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Time Resource Indication and Frequency Resource Indication: configured as 1</w:t>
            </w:r>
          </w:p>
          <w:p w14:paraId="165A081C">
            <w:pPr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1656" w:leftChars="0" w:hanging="360" w:firstLineChars="0"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Step 2: device transmits an D2R message carrying Access Random ID (Msg1). The D2R transmission shall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  <w:t>meet the transmit timing requirements</w:t>
            </w:r>
          </w:p>
          <w:p w14:paraId="16F5E3FB">
            <w:pPr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1656" w:leftChars="0" w:hanging="360" w:firstLineChars="0"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  <w:t>Step 3: TE monitors occasions whether there is Access Random ID reflected by device,</w:t>
            </w:r>
          </w:p>
          <w:p w14:paraId="7237C46F">
            <w:pPr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2376" w:leftChars="0" w:hanging="360" w:firstLineChars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TE transmit Access trigger message if there is no Access Random ID detected, until and Access Random ID is detected or the all-access occasions has passed</w:t>
            </w:r>
          </w:p>
          <w:p w14:paraId="6077D5A0">
            <w:pPr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2376" w:leftChars="0" w:hanging="360" w:firstLineChars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If an Access Random ID is received, TE transmits Random ID Response which is identical to Access Random ID</w:t>
            </w:r>
          </w:p>
          <w:p w14:paraId="704B4C57">
            <w:pPr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3096" w:leftChars="0" w:hanging="360" w:firstLineChars="0"/>
              <w:jc w:val="both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To verify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vertAlign w:val="subscript"/>
                <w:lang w:val="en-US" w:eastAsia="zh-CN"/>
              </w:rPr>
              <w:t>D2R_min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>, the Random ID response is transmitted exactly T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vertAlign w:val="subscript"/>
                <w:lang w:val="en-US" w:eastAsia="zh-CN"/>
              </w:rPr>
              <w:t>D2R_min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 after the end of access random ID backscattered by the DUT</w:t>
            </w:r>
          </w:p>
          <w:p w14:paraId="13BC910E">
            <w:pPr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1656" w:leftChars="0" w:hanging="360" w:firstLineChars="0"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  <w:t>Step 4: device transmits an D2R message (MSG3). The D2R transmission shall meet the transmit timing requirements</w:t>
            </w:r>
          </w:p>
          <w:p w14:paraId="47B790E3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none"/>
                <w:u w:val="single"/>
                <w:lang w:val="en-US" w:eastAsia="zh-CN"/>
              </w:rPr>
            </w:pPr>
          </w:p>
          <w:p w14:paraId="09A2BB6F">
            <w:pPr>
              <w:snapToGrid w:val="0"/>
              <w:spacing w:after="120"/>
              <w:rPr>
                <w:rFonts w:hint="default" w:ascii="Times New Roman" w:hAnsi="Times New Roman" w:eastAsia="宋体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>Issue 2-1-2: OTA related aspects</w:t>
            </w:r>
          </w:p>
          <w:p w14:paraId="31F9C76C">
            <w:pPr>
              <w:snapToGrid w:val="0"/>
              <w:spacing w:after="120"/>
              <w:ind w:leftChars="100"/>
              <w:rPr>
                <w:rFonts w:hint="default" w:ascii="Times New Roman" w:hAnsi="Times New Roman" w:eastAsia="等线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none"/>
                <w:lang w:eastAsia="zh-CN"/>
              </w:rPr>
              <w:t>Agreement:</w:t>
            </w:r>
          </w:p>
          <w:p w14:paraId="56644D2E">
            <w:pPr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1656" w:leftChars="0" w:hanging="360" w:firstLineChars="0"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  <w:t>To capture in TS 38.191 that the RRM test is only performed at peak direction</w:t>
            </w:r>
          </w:p>
          <w:p w14:paraId="60F1BA78">
            <w:pPr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2376" w:leftChars="0" w:hanging="360" w:firstLineChars="0"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>for RRM test cases at peak direction, the test case is performed at following conditions:</w:t>
            </w:r>
          </w:p>
          <w:p w14:paraId="348B88DA">
            <w:pPr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3096" w:leftChars="0" w:hanging="360" w:firstLineChars="0"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 xml:space="preserve">Step 1: CW polarization with minimum value between </w:t>
            </w:r>
            <m:oMath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EIS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total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d>
                <m:d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Cambria Math" w:hAnsi="Cambria Math" w:eastAsia="Malgun Gothic" w:cs="Times New Roman"/>
                          <w:sz w:val="20"/>
                          <w:szCs w:val="20"/>
                          <w:highlight w:val="none"/>
                          <w:lang w:eastAsia="zh-CN"/>
                        </w:rPr>
                      </m:ctrlPr>
                    </m:sSubPr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eastAsia="Malgun Gothic" w:cs="Times New Roman"/>
                          <w:b w:val="0"/>
                          <w:i w:val="0"/>
                          <w:sz w:val="20"/>
                          <w:szCs w:val="20"/>
                          <w:highlight w:val="none"/>
                          <w:lang w:eastAsia="zh-CN"/>
                        </w:rPr>
                        <m:t>θ,ϕ,</m:t>
                      </m:r>
                      <m:r>
                        <m:rPr>
                          <m:nor/>
                        </m:r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  <w:highlight w:val="none"/>
                          <w:lang w:eastAsia="zh-CN"/>
                        </w:rPr>
                        <m:t>Pol</m:t>
                      </m:r>
                      <m:ctrlPr>
                        <w:rPr>
                          <w:rFonts w:hint="default" w:ascii="Cambria Math" w:hAnsi="Cambria Math" w:eastAsia="Malgun Gothic" w:cs="Times New Roman"/>
                          <w:sz w:val="20"/>
                          <w:szCs w:val="20"/>
                          <w:highlight w:val="none"/>
                          <w:lang w:eastAsia="zh-CN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  <w:highlight w:val="none"/>
                          <w:lang w:eastAsia="zh-CN"/>
                        </w:rPr>
                        <m:t>CW</m:t>
                      </m:r>
                      <m:ctrlPr>
                        <w:rPr>
                          <w:rFonts w:hint="default" w:ascii="Cambria Math" w:hAnsi="Cambria Math" w:eastAsia="Malgun Gothic" w:cs="Times New Roman"/>
                          <w:sz w:val="20"/>
                          <w:szCs w:val="20"/>
                          <w:highlight w:val="none"/>
                          <w:lang w:eastAsia="zh-CN"/>
                        </w:rPr>
                      </m:ctrlPr>
                    </m:sub>
                  </m:s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Malgun Gothic" w:cs="Times New Roman"/>
                      <w:b w:val="0"/>
                      <w:i w:val="0"/>
                      <w:sz w:val="20"/>
                      <w:szCs w:val="20"/>
                      <w:highlight w:val="none"/>
                      <w:lang w:eastAsia="zh-CN"/>
                    </w:rPr>
                    <m:t>=θ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</m:d>
            </m:oMath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EIS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total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d>
                <m:d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Cambria Math" w:hAnsi="Cambria Math" w:eastAsia="Malgun Gothic" w:cs="Times New Roman"/>
                          <w:sz w:val="20"/>
                          <w:szCs w:val="20"/>
                          <w:highlight w:val="none"/>
                          <w:lang w:eastAsia="zh-CN"/>
                        </w:rPr>
                      </m:ctrlPr>
                    </m:sSubPr>
                    <m:e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eastAsia="Malgun Gothic" w:cs="Times New Roman"/>
                          <w:b w:val="0"/>
                          <w:i w:val="0"/>
                          <w:sz w:val="20"/>
                          <w:szCs w:val="20"/>
                          <w:highlight w:val="none"/>
                          <w:lang w:eastAsia="zh-CN"/>
                        </w:rPr>
                        <m:t>θ,ϕ,</m:t>
                      </m:r>
                      <m:r>
                        <m:rPr>
                          <m:nor/>
                        </m:r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  <w:highlight w:val="none"/>
                          <w:lang w:eastAsia="zh-CN"/>
                        </w:rPr>
                        <m:t>Pol</m:t>
                      </m:r>
                      <m:ctrlPr>
                        <w:rPr>
                          <w:rFonts w:hint="default" w:ascii="Cambria Math" w:hAnsi="Cambria Math" w:eastAsia="Malgun Gothic" w:cs="Times New Roman"/>
                          <w:sz w:val="20"/>
                          <w:szCs w:val="20"/>
                          <w:highlight w:val="none"/>
                          <w:lang w:eastAsia="zh-CN"/>
                        </w:rPr>
                      </m:ctrlPr>
                    </m:e>
                    <m:sub>
                      <m:r>
                        <m:rPr>
                          <m:nor/>
                        </m:r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  <w:highlight w:val="none"/>
                          <w:lang w:eastAsia="zh-CN"/>
                        </w:rPr>
                        <m:t>CW</m:t>
                      </m:r>
                      <m:ctrlPr>
                        <w:rPr>
                          <w:rFonts w:hint="default" w:ascii="Cambria Math" w:hAnsi="Cambria Math" w:eastAsia="Malgun Gothic" w:cs="Times New Roman"/>
                          <w:sz w:val="20"/>
                          <w:szCs w:val="20"/>
                          <w:highlight w:val="none"/>
                          <w:lang w:eastAsia="zh-CN"/>
                        </w:rPr>
                      </m:ctrlPr>
                    </m:sub>
                  </m:s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Malgun Gothic" w:cs="Times New Roman"/>
                      <w:b w:val="0"/>
                      <w:i w:val="0"/>
                      <w:sz w:val="20"/>
                      <w:szCs w:val="20"/>
                      <w:highlight w:val="none"/>
                      <w:lang w:eastAsia="zh-CN"/>
                    </w:rPr>
                    <m:t>=ϕ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</m:d>
            </m:oMath>
          </w:p>
          <w:p w14:paraId="680DE551">
            <w:pPr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3096" w:leftChars="0" w:hanging="360" w:firstLineChars="0"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 xml:space="preserve">Step 2: Reader polarization with minimum value between </w:t>
            </w:r>
            <m:oMath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EIS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DUT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(</m:t>
              </m:r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Pol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Meas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=θ;</m:t>
              </m:r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Pol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CW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=θ)</m:t>
              </m:r>
            </m:oMath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EIS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DUT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(</m:t>
              </m:r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Pol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Meas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=ϕ;</m:t>
              </m:r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Pol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CW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=θ)</m:t>
              </m:r>
            </m:oMath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 xml:space="preserve"> if </w:t>
            </w:r>
            <m:oMath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θ</m:t>
              </m:r>
            </m:oMath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 xml:space="preserve"> polarization of CW is selected in step 1, or the reader polarization with minimum value between </w:t>
            </w:r>
            <m:oMath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EIS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DUT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(</m:t>
              </m:r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Pol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Meas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=θ;</m:t>
              </m:r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Pol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CW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=ϕ)</m:t>
              </m:r>
            </m:oMath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EIS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DUT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(</m:t>
              </m:r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Pol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Meas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=ϕ;</m:t>
              </m:r>
              <m:sSub>
                <m:sSubP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Pol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e>
                <m:sub>
                  <m:r>
                    <m:rPr>
                      <m:nor/>
                    </m:r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  <w:highlight w:val="none"/>
                      <w:lang w:eastAsia="zh-CN"/>
                    </w:rPr>
                    <m:t>CW</m:t>
                  </m:r>
                  <m:ctrlP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  <w:highlight w:val="none"/>
                      <w:lang w:eastAsia="zh-CN"/>
                    </w:rPr>
                  </m:ctrlPr>
                </m:sub>
              </m:sSub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=ϕ)</m:t>
              </m:r>
            </m:oMath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 xml:space="preserve"> if </w:t>
            </w:r>
            <m:oMath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  <w:highlight w:val="none"/>
                  <w:lang w:eastAsia="zh-CN"/>
                </w:rPr>
                <m:t>ϕ</m:t>
              </m:r>
            </m:oMath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 xml:space="preserve"> polarization of CW is selected in step 1.</w:t>
            </w:r>
          </w:p>
          <w:p w14:paraId="78233142">
            <w:pPr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3096" w:leftChars="0" w:hanging="360" w:firstLineChars="0"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 xml:space="preserve">Step 3: The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en-US"/>
              </w:rPr>
              <w:t>received power at DUT’s antenna is set as [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eastAsia="zh-CN"/>
              </w:rPr>
              <w:t>10] dB higher than the reference sensitivity requirement.</w:t>
            </w:r>
          </w:p>
          <w:p w14:paraId="7925B333">
            <w:pPr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1656" w:leftChars="0" w:hanging="360" w:firstLineChars="0"/>
              <w:jc w:val="both"/>
              <w:textAlignment w:val="baseline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zh-CN"/>
              </w:rPr>
              <w:t>Further discuss whether to capture the above agreement in a dedicated (sub-)section or as part of the test case.</w:t>
            </w:r>
          </w:p>
          <w:p w14:paraId="68B136FB">
            <w:pPr>
              <w:snapToGrid w:val="0"/>
              <w:spacing w:after="120"/>
              <w:rPr>
                <w:rFonts w:hint="default" w:ascii="Times New Roman" w:hAnsi="Times New Roman" w:eastAsia="宋体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</w:p>
          <w:p w14:paraId="01008ADC">
            <w:pPr>
              <w:snapToGrid w:val="0"/>
              <w:spacing w:after="120"/>
              <w:rPr>
                <w:rFonts w:hint="default" w:ascii="Times New Roman" w:hAnsi="Times New Roman" w:eastAsia="宋体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>Issue 2-1-3: Test parameters</w:t>
            </w:r>
          </w:p>
          <w:p w14:paraId="399FBE77">
            <w:pPr>
              <w:snapToGrid w:val="0"/>
              <w:spacing w:after="120"/>
              <w:ind w:leftChars="100"/>
              <w:rPr>
                <w:rFonts w:hint="default" w:ascii="Times New Roman" w:hAnsi="Times New Roman" w:eastAsia="宋体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sz w:val="20"/>
                <w:szCs w:val="20"/>
                <w:highlight w:val="none"/>
                <w:lang w:eastAsia="zh-CN"/>
              </w:rPr>
              <w:t>Agreement:</w:t>
            </w:r>
          </w:p>
          <w:p w14:paraId="01F9DD83">
            <w:pPr>
              <w:widowControl w:val="0"/>
              <w:numPr>
                <w:ilvl w:val="1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1656" w:leftChars="0" w:hanging="36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val="en-US" w:eastAsia="zh-CN"/>
              </w:rPr>
              <w:t>RAN4 to adopt the following parameters for the RRM test case.</w:t>
            </w:r>
          </w:p>
          <w:p w14:paraId="69B39333">
            <w:pPr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2376" w:leftChars="0" w:hanging="36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val="en-US" w:eastAsia="zh-CN"/>
              </w:rPr>
              <w:t>For R2D transmission, re-use FRC A-FR1-B1-1 in clause B.2.1 of 38191,</w:t>
            </w:r>
          </w:p>
          <w:p w14:paraId="2922F69B">
            <w:pPr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2376" w:leftChars="0" w:hanging="36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val="en-US" w:eastAsia="zh-CN"/>
              </w:rPr>
              <w:t>For R2D transmission, re-use FRC A-FR1-A1-1 in clause B.1 of 38194 with following update</w:t>
            </w:r>
          </w:p>
          <w:p w14:paraId="3D5B5214">
            <w:pPr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3096" w:leftChars="0" w:hanging="36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val="en-US" w:eastAsia="zh-CN"/>
              </w:rPr>
              <w:t>Remove “modulation” and “SFO” for RRM test,</w:t>
            </w:r>
          </w:p>
          <w:p w14:paraId="7368A4D3">
            <w:pPr>
              <w:widowControl w:val="0"/>
              <w:numPr>
                <w:ilvl w:val="3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3096" w:leftChars="0" w:hanging="360" w:firstLineChars="0"/>
              <w:jc w:val="both"/>
              <w:textAlignment w:val="baseline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val="en-US" w:eastAsia="zh-CN"/>
              </w:rPr>
              <w:t>In addition, define the small frequency shift factor as ‘8’</w:t>
            </w:r>
          </w:p>
          <w:p w14:paraId="6B7F345C">
            <w:pPr>
              <w:widowControl w:val="0"/>
              <w:numPr>
                <w:ilvl w:val="2"/>
                <w:numId w:val="4"/>
              </w:numPr>
              <w:overflowPunct/>
              <w:autoSpaceDE/>
              <w:autoSpaceDN/>
              <w:adjustRightInd/>
              <w:snapToGrid w:val="0"/>
              <w:spacing w:after="120"/>
              <w:ind w:left="2376" w:leftChars="0" w:hanging="360" w:firstLineChars="0"/>
              <w:jc w:val="both"/>
              <w:textAlignment w:val="baseline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val="en-US" w:eastAsia="zh-CN"/>
              </w:rPr>
              <w:t>Set “Number of Access Occasions” in Paging message to 1.</w:t>
            </w:r>
          </w:p>
        </w:tc>
      </w:tr>
    </w:tbl>
    <w:p w14:paraId="3AB0F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</w:pPr>
    </w:p>
    <w:p w14:paraId="23C3A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In previous meeting, it was agreed that RAN4 define a single one RRM test case for A-IoT to verify RRM requirements. There is good progress on test procedures and test parameters for A-IoT RRM test case in last meeting. A draftCR on the RRM test cases was endorsed [3]. One remaining issue is that the duration of time periods T1, T2 and T3 in the test case are not finalized.</w:t>
      </w:r>
    </w:p>
    <w:p w14:paraId="460BE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At the beginning of T1, test equipment transmits an R2D message carrying A-IoT Paging message. The test equipment determines whether there is a D2R transmission carrying Access Random ID (Msg1) from the device T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R→D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after the end of the transmitted A-IoT Paging message.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It can be seen that the duration of time period T1 includes the transmission of R2D message carrying A-IoT Paging message, offset 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R→D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and Te. According to the test parameters in [3], the total duration of T1 need to be less than 9.5ms. 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017E6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631EC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/>
                <w:bCs w:val="0"/>
                <w:color w:val="000000" w:themeColor="text1"/>
                <w:sz w:val="20"/>
                <w:szCs w:val="20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color w:val="000000" w:themeColor="text1"/>
                <w:sz w:val="20"/>
                <w:szCs w:val="20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Agreements in RAN4# 116 meeting (</w:t>
            </w:r>
            <w:r>
              <w:rPr>
                <w:rFonts w:hint="default" w:ascii="Times New Roman" w:hAnsi="Times New Roman" w:cs="Times New Roman"/>
                <w:b/>
                <w:bCs w:val="0"/>
                <w:sz w:val="20"/>
                <w:szCs w:val="20"/>
                <w:highlight w:val="none"/>
                <w:lang w:val="en-US" w:eastAsia="zh-CN"/>
              </w:rPr>
              <w:t>R4-2512134</w:t>
            </w:r>
            <w:r>
              <w:rPr>
                <w:rFonts w:hint="default" w:ascii="Times New Roman" w:hAnsi="Times New Roman" w:eastAsia="等线" w:cs="Times New Roman"/>
                <w:b/>
                <w:bCs w:val="0"/>
                <w:color w:val="000000" w:themeColor="text1"/>
                <w:sz w:val="20"/>
                <w:szCs w:val="20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) </w:t>
            </w:r>
          </w:p>
          <w:p w14:paraId="45E2690A">
            <w:pPr>
              <w:snapToGrid w:val="0"/>
              <w:spacing w:after="120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>Issue 1-2-1: Device transmit timing</w:t>
            </w:r>
          </w:p>
          <w:p w14:paraId="1FC9F5A3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none"/>
                <w:u w:val="single"/>
              </w:rPr>
            </w:pPr>
          </w:p>
          <w:p w14:paraId="0F95927E">
            <w:pPr>
              <w:pStyle w:val="13"/>
              <w:snapToGrid w:val="0"/>
              <w:ind w:left="0" w:leftChars="0" w:firstLine="0" w:firstLineChars="0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Agreement:</w:t>
            </w:r>
          </w:p>
          <w:p w14:paraId="0140E6CA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none"/>
                <w:u w:val="single"/>
              </w:rPr>
            </w:pPr>
          </w:p>
          <w:p w14:paraId="3AB52C5F">
            <w:pPr>
              <w:pStyle w:val="13"/>
              <w:numPr>
                <w:ilvl w:val="0"/>
                <w:numId w:val="5"/>
              </w:numPr>
              <w:tabs>
                <w:tab w:val="left" w:pos="840"/>
                <w:tab w:val="clear" w:pos="420"/>
              </w:tabs>
              <w:overflowPunct/>
              <w:autoSpaceDE/>
              <w:autoSpaceDN/>
              <w:adjustRightInd/>
              <w:ind w:left="840" w:leftChars="0" w:hanging="482" w:firstLineChars="0"/>
              <w:rPr>
                <w:rFonts w:hint="default" w:ascii="Times New Roman" w:hAnsi="Times New Roman" w:cs="Times New Roman"/>
                <w:i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For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D2R transmission, t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>he device transmission timing error shall be less than or equal to Te. The value of Te is equal to 10%*T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  <w:vertAlign w:val="subscript"/>
              </w:rPr>
              <w:t>SFO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>, where T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  <w:vertAlign w:val="subscript"/>
              </w:rPr>
              <w:t>SFO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 xml:space="preserve"> is the length in microseconds from the last transition edge of PRDCH of the corresponding R2D transmission to the starting time of D2R transmission.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 xml:space="preserve">The reference point for the device transmission timing is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  <m:t>T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  <w:highlight w:val="none"/>
                    </w:rPr>
                    <m:t>R→D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 xml:space="preserve"> after the end of 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highlight w:val="none"/>
                <w:lang w:val="en-US" w:eastAsia="zh-CN"/>
              </w:rPr>
              <w:t>R2D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 xml:space="preserve">transmission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 xml:space="preserve">intended for the device as define in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 xml:space="preserve">7.1.2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TS 38.2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91</w:t>
            </w:r>
          </w:p>
          <w:p w14:paraId="25B04F46">
            <w:pPr>
              <w:pStyle w:val="13"/>
              <w:numPr>
                <w:ilvl w:val="0"/>
                <w:numId w:val="6"/>
              </w:numPr>
              <w:overflowPunct/>
              <w:autoSpaceDE/>
              <w:autoSpaceDN/>
              <w:adjustRightInd/>
              <w:ind w:left="1260" w:leftChars="0" w:hanging="420" w:firstLineChars="0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</w:pP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i w:val="0"/>
                      <w:sz w:val="20"/>
                      <w:szCs w:val="20"/>
                      <w:highlight w:val="none"/>
                    </w:rPr>
                    <m:t>T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bCs/>
                      <w:i w:val="0"/>
                      <w:sz w:val="20"/>
                      <w:szCs w:val="20"/>
                      <w:highlight w:val="none"/>
                    </w:rPr>
                    <m:t>R→D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ub>
              </m:sSub>
            </m:oMath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is  </w:t>
            </w:r>
          </w:p>
          <w:p w14:paraId="0D915AAF">
            <w:pPr>
              <w:pStyle w:val="13"/>
              <w:numPr>
                <w:ilvl w:val="0"/>
                <w:numId w:val="7"/>
              </w:numPr>
              <w:tabs>
                <w:tab w:val="left" w:pos="840"/>
                <w:tab w:val="clear" w:pos="1260"/>
              </w:tabs>
              <w:overflowPunct/>
              <w:autoSpaceDE/>
              <w:autoSpaceDN/>
              <w:adjustRightInd/>
              <w:ind w:left="1680" w:leftChars="0" w:hanging="420" w:firstLineChars="0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For CBRA MSG1 X=1: </w:t>
            </w: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i w:val="0"/>
                      <w:sz w:val="20"/>
                      <w:szCs w:val="20"/>
                      <w:highlight w:val="none"/>
                    </w:rPr>
                    <m:t>T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bCs/>
                      <w:i w:val="0"/>
                      <w:sz w:val="20"/>
                      <w:szCs w:val="20"/>
                      <w:highlight w:val="none"/>
                    </w:rPr>
                    <m:t>R→D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ub>
              </m:sSub>
            </m:oMath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is 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vertAlign w:val="subscript"/>
              </w:rPr>
              <w:t>offset1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after the end of corresponding R2D transmission</w:t>
            </w:r>
          </w:p>
          <w:p w14:paraId="34791DBE">
            <w:pPr>
              <w:pStyle w:val="13"/>
              <w:numPr>
                <w:ilvl w:val="0"/>
                <w:numId w:val="7"/>
              </w:numPr>
              <w:tabs>
                <w:tab w:val="left" w:pos="840"/>
                <w:tab w:val="clear" w:pos="1260"/>
              </w:tabs>
              <w:overflowPunct/>
              <w:autoSpaceDE/>
              <w:autoSpaceDN/>
              <w:adjustRightInd/>
              <w:ind w:left="1680" w:leftChars="0" w:hanging="420" w:firstLineChars="0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For CBRA MSG1 X=2: </w:t>
            </w: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i w:val="0"/>
                      <w:sz w:val="20"/>
                      <w:szCs w:val="20"/>
                      <w:highlight w:val="none"/>
                    </w:rPr>
                    <m:t>T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bCs/>
                      <w:i w:val="0"/>
                      <w:sz w:val="20"/>
                      <w:szCs w:val="20"/>
                      <w:highlight w:val="none"/>
                    </w:rPr>
                    <m:t>R→D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ub>
              </m:sSub>
            </m:oMath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is 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vertAlign w:val="subscript"/>
              </w:rPr>
              <w:t>offset1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>+ 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vertAlign w:val="subscript"/>
              </w:rPr>
              <w:t>offset2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after the end of corresponding R2D transmission</w:t>
            </w:r>
          </w:p>
          <w:p w14:paraId="50357DE4">
            <w:pPr>
              <w:pStyle w:val="13"/>
              <w:numPr>
                <w:ilvl w:val="0"/>
                <w:numId w:val="7"/>
              </w:numPr>
              <w:tabs>
                <w:tab w:val="left" w:pos="840"/>
                <w:tab w:val="clear" w:pos="1260"/>
              </w:tabs>
              <w:overflowPunct/>
              <w:autoSpaceDE/>
              <w:autoSpaceDN/>
              <w:adjustRightInd/>
              <w:ind w:left="1680" w:leftChars="0" w:hanging="420" w:firstLineChars="0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For CBRA MSG3: </w:t>
            </w: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i w:val="0"/>
                      <w:sz w:val="20"/>
                      <w:szCs w:val="20"/>
                      <w:highlight w:val="none"/>
                    </w:rPr>
                    <m:t>T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bCs/>
                      <w:i w:val="0"/>
                      <w:sz w:val="20"/>
                      <w:szCs w:val="20"/>
                      <w:highlight w:val="none"/>
                    </w:rPr>
                    <m:t>R→D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ub>
              </m:sSub>
            </m:oMath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is 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vertAlign w:val="subscript"/>
              </w:rPr>
              <w:t>offset3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after the end of corresponding R2D transmission</w:t>
            </w:r>
          </w:p>
          <w:p w14:paraId="7B498936">
            <w:pPr>
              <w:pStyle w:val="13"/>
              <w:numPr>
                <w:ilvl w:val="0"/>
                <w:numId w:val="7"/>
              </w:numPr>
              <w:tabs>
                <w:tab w:val="left" w:pos="840"/>
                <w:tab w:val="clear" w:pos="1260"/>
              </w:tabs>
              <w:overflowPunct/>
              <w:autoSpaceDE/>
              <w:autoSpaceDN/>
              <w:adjustRightInd/>
              <w:ind w:left="1680" w:leftChars="0" w:hanging="420" w:firstLineChars="0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For CFRA first D2R: </w:t>
            </w: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i w:val="0"/>
                      <w:sz w:val="20"/>
                      <w:szCs w:val="20"/>
                      <w:highlight w:val="none"/>
                    </w:rPr>
                    <m:t>T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bCs/>
                      <w:i w:val="0"/>
                      <w:sz w:val="20"/>
                      <w:szCs w:val="20"/>
                      <w:highlight w:val="none"/>
                    </w:rPr>
                    <m:t>R→D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ub>
              </m:sSub>
            </m:oMath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is 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vertAlign w:val="subscript"/>
              </w:rPr>
              <w:t>offset3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after the end of corresponding R2D transmission</w:t>
            </w:r>
          </w:p>
          <w:p w14:paraId="1EEE8BB3">
            <w:pPr>
              <w:pStyle w:val="13"/>
              <w:numPr>
                <w:ilvl w:val="0"/>
                <w:numId w:val="7"/>
              </w:numPr>
              <w:tabs>
                <w:tab w:val="left" w:pos="840"/>
                <w:tab w:val="clear" w:pos="1260"/>
              </w:tabs>
              <w:overflowPunct/>
              <w:autoSpaceDE/>
              <w:autoSpaceDN/>
              <w:adjustRightInd/>
              <w:ind w:left="1680" w:leftChars="0" w:hanging="420" w:firstLineChars="0"/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For D2R transmission except for Msg1 and Msg3: </w:t>
            </w:r>
            <m:oMath>
              <m:sSub>
                <m:sSubP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SubPr>
                <m:e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i w:val="0"/>
                      <w:sz w:val="20"/>
                      <w:szCs w:val="20"/>
                      <w:highlight w:val="none"/>
                    </w:rPr>
                    <m:t>T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 w:cs="Times New Roman"/>
                      <w:b w:val="0"/>
                      <w:bCs/>
                      <w:i w:val="0"/>
                      <w:sz w:val="20"/>
                      <w:szCs w:val="20"/>
                      <w:highlight w:val="none"/>
                    </w:rPr>
                    <m:t>R→D</m:t>
                  </m:r>
                  <m:ctrlPr>
                    <w:rPr>
                      <w:rFonts w:hint="default" w:ascii="Cambria Math" w:hAnsi="Cambria Math" w:eastAsia="宋体" w:cs="Times New Roman"/>
                      <w:bCs/>
                      <w:sz w:val="20"/>
                      <w:szCs w:val="20"/>
                      <w:highlight w:val="none"/>
                    </w:rPr>
                  </m:ctrlPr>
                </m:sub>
              </m:sSub>
            </m:oMath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is 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vertAlign w:val="subscript"/>
              </w:rPr>
              <w:t>offset4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</w:rPr>
              <w:t xml:space="preserve"> after the end of corresponding R2D transmission</w:t>
            </w:r>
          </w:p>
          <w:p w14:paraId="12E90708">
            <w:pPr>
              <w:pStyle w:val="13"/>
              <w:numPr>
                <w:ilvl w:val="8"/>
                <w:numId w:val="0"/>
              </w:numPr>
              <w:ind w:left="960" w:leftChars="400"/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 xml:space="preserve">Note: considering that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  <m:t>T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  <w:highlight w:val="none"/>
                    </w:rPr>
                    <m:t>R→D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</m:ctrlPr>
                </m:sub>
              </m:sSub>
            </m:oMath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>is in use in RAN1 spec (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TS 38.2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91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 xml:space="preserve">), above details about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  <m:t>T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  <w:highlight w:val="none"/>
                    </w:rPr>
                    <m:t>R→D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  <w:highlight w:val="none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</w:rPr>
              <w:t>will not be captured in TS38.191</w:t>
            </w:r>
          </w:p>
          <w:p w14:paraId="5F1FDC98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none"/>
                <w:u w:val="single"/>
              </w:rPr>
            </w:pPr>
          </w:p>
          <w:p w14:paraId="49D6BF4D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none"/>
                <w:u w:val="single"/>
              </w:rPr>
            </w:pPr>
          </w:p>
          <w:p w14:paraId="4485E1F5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none"/>
                <w:u w:val="single"/>
              </w:rPr>
            </w:pPr>
          </w:p>
          <w:p w14:paraId="5FE46DDF">
            <w:pPr>
              <w:snapToGrid w:val="0"/>
              <w:spacing w:after="120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lang w:val="en-US" w:eastAsia="zh-CN"/>
              </w:rPr>
              <w:t>Issue 1-2-2: The value for T</w:t>
            </w: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  <w:vertAlign w:val="subscript"/>
                <w:lang w:val="en-US" w:eastAsia="zh-CN"/>
              </w:rPr>
              <w:t>D2R_min</w:t>
            </w:r>
          </w:p>
          <w:p w14:paraId="1419D512">
            <w:pPr>
              <w:rPr>
                <w:rFonts w:hint="default" w:ascii="Times New Roman" w:hAnsi="Times New Roman" w:cs="Times New Roman"/>
                <w:b/>
                <w:color w:val="0070C0"/>
                <w:sz w:val="20"/>
                <w:szCs w:val="20"/>
                <w:highlight w:val="none"/>
                <w:u w:val="single"/>
              </w:rPr>
            </w:pPr>
          </w:p>
          <w:p w14:paraId="4B46C4CC">
            <w:pPr>
              <w:pStyle w:val="13"/>
              <w:snapToGrid w:val="0"/>
              <w:ind w:left="0" w:leftChars="0" w:firstLine="0" w:firstLineChars="0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</w:rPr>
              <w:t>Agreement:</w:t>
            </w:r>
          </w:p>
          <w:p w14:paraId="041814BC">
            <w:pPr>
              <w:pStyle w:val="13"/>
              <w:snapToGrid w:val="0"/>
              <w:ind w:left="0" w:leftChars="0" w:firstLine="0" w:firstLineChars="0"/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</w:pPr>
          </w:p>
          <w:p w14:paraId="47B2077A">
            <w:pPr>
              <w:numPr>
                <w:ilvl w:val="0"/>
                <w:numId w:val="8"/>
              </w:numPr>
              <w:tabs>
                <w:tab w:val="clear" w:pos="1260"/>
              </w:tabs>
              <w:overflowPunct/>
              <w:autoSpaceDE/>
              <w:autoSpaceDN/>
              <w:adjustRightInd/>
              <w:spacing w:after="120"/>
              <w:ind w:left="1680" w:leftChars="0" w:hanging="1200" w:firstLineChars="0"/>
              <w:rPr>
                <w:rFonts w:hint="default" w:ascii="Times New Roman" w:hAnsi="Times New Roman" w:eastAsia="等线" w:cs="Times New Roman"/>
                <w:bCs/>
                <w:color w:val="000000" w:themeColor="text1"/>
                <w:sz w:val="20"/>
                <w:szCs w:val="20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The value of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highlight w:val="none"/>
                <w:vertAlign w:val="subscript"/>
                <w:lang w:val="en-US" w:eastAsia="zh-CN"/>
              </w:rPr>
              <w:t xml:space="preserve">D2R_min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highlight w:val="none"/>
                <w:lang w:val="en-US" w:eastAsia="zh-CN"/>
              </w:rPr>
              <w:t xml:space="preserve">is 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val="en-US" w:eastAsia="zh-CN"/>
              </w:rPr>
              <w:t>max {3* 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vertAlign w:val="subscript"/>
                <w:lang w:val="en-US" w:eastAsia="zh-CN"/>
              </w:rPr>
              <w:t>D2R_chip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val="en-US" w:eastAsia="zh-CN"/>
              </w:rPr>
              <w:t>, 10 us}, where T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vertAlign w:val="subscript"/>
                <w:lang w:val="en-US" w:eastAsia="zh-CN"/>
              </w:rPr>
              <w:t>D2R_chip</w:t>
            </w:r>
            <w:r>
              <w:rPr>
                <w:rFonts w:hint="default" w:ascii="Times New Roman" w:hAnsi="Times New Roman" w:eastAsia="宋体" w:cs="Times New Roman"/>
                <w:bCs/>
                <w:sz w:val="20"/>
                <w:szCs w:val="20"/>
                <w:highlight w:val="none"/>
                <w:lang w:val="en-US" w:eastAsia="zh-CN"/>
              </w:rPr>
              <w:t xml:space="preserve"> is the chip length of D2R transmission</w:t>
            </w:r>
          </w:p>
        </w:tc>
      </w:tr>
    </w:tbl>
    <w:p w14:paraId="4E5CC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BA9A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 starts at the beginning of Msg1 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transmission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, and ends at T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D2R_min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after the end of Msg1 transmission.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The duration of time period T2 includes the transmission of 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D2R transmission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carrying access random ID and 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D2R_min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. The total duration is no less than 67ms. </w:t>
      </w:r>
    </w:p>
    <w:p w14:paraId="6753B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t the beginning of T3, test equipment transmits an R2D message carrying Random ID Response message (Msg2). The test equipment determines whether there is a D2R transmission carrying D2R Upper Layer Data Transfer message (Msg3) from the device </w:t>
      </w:r>
      <m:oMath>
        <m:sSub>
          <m:sSubPr>
            <m:ctrlPr>
              <w:rPr>
                <w:rFonts w:hint="default" w:ascii="Cambria Math" w:hAnsi="Cambria Math" w:eastAsia="等线" w:cs="Times New Roman"/>
                <w:bCs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等线" w:cs="Times New Roman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T</m:t>
            </m:r>
            <m:ctrlPr>
              <w:rPr>
                <w:rFonts w:hint="default" w:ascii="Cambria Math" w:hAnsi="Cambria Math" w:eastAsia="等线" w:cs="Times New Roman"/>
                <w:bCs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eastAsia="等线" w:cs="Times New Roman"/>
                <w:b w:val="0"/>
                <w:bCs/>
                <w:i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m:t>R→D</m:t>
            </m:r>
            <m:ctrlPr>
              <w:rPr>
                <w:rFonts w:hint="default" w:ascii="Cambria Math" w:hAnsi="Cambria Math" w:eastAsia="等线" w:cs="Times New Roman"/>
                <w:bCs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after the end of the transmitted Msg2.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The duration of time period T3 includes R2D transmission, offset, Te, and </w:t>
      </w:r>
      <w:r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D2R transmission</w:t>
      </w:r>
      <w:r>
        <w:rPr>
          <w:rFonts w:hint="eastAsia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. The total duration is need to be no less than 76ms. </w:t>
      </w:r>
    </w:p>
    <w:p w14:paraId="6C970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Proposal 1: for A-IoT RRM test, the duration of T1, T2 and T3 are proposed as following:</w:t>
      </w:r>
    </w:p>
    <w:p w14:paraId="4F0A1B00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T1 is no less than 9.5ms</w:t>
      </w:r>
    </w:p>
    <w:p w14:paraId="6A1093E8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T2 is no less than 67ms</w:t>
      </w:r>
    </w:p>
    <w:p w14:paraId="4B6C2083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T3 is no less than 76ms</w:t>
      </w:r>
    </w:p>
    <w:p w14:paraId="15A0F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bookmarkEnd w:id="6"/>
    <w:bookmarkEnd w:id="7"/>
    <w:p w14:paraId="046857AF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7F3A70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RRM performance requirements for A-IoT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06DC0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Proposal 1: for A-IoT RRM test, the duration of T1, T2 and T3 are proposed as following:</w:t>
      </w:r>
    </w:p>
    <w:p w14:paraId="24D72B98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T1 is no less than 9.5ms</w:t>
      </w:r>
    </w:p>
    <w:p w14:paraId="7FBF53E5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T2 is no less than 67ms</w:t>
      </w:r>
    </w:p>
    <w:p w14:paraId="63A3FC9F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ind w:left="420" w:leftChars="0" w:hanging="420" w:firstLineChars="0"/>
        <w:textAlignment w:val="auto"/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等线" w:cs="Times New Roman"/>
          <w:b/>
          <w:bCs w:val="0"/>
          <w:i/>
          <w:i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T3 is no less than 76ms</w:t>
      </w:r>
    </w:p>
    <w:p w14:paraId="2CF1357B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</w:p>
    <w:p w14:paraId="54BE5A42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C60A1B9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50796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Revised WID: New Work Item: Solutions for Ambient IoT (Internet of Things) in NR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CMCC, Huawei, T-Mobile USA Inc</w:t>
      </w:r>
    </w:p>
    <w:p w14:paraId="0EA24C61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R4-2522641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Ambient_IoT_RRM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</w:t>
      </w:r>
    </w:p>
    <w:p w14:paraId="322F1743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R4-2522829, draftCR on RRM test case for A-IoT, Huawei, HiSilicon, CMCC</w:t>
      </w:r>
    </w:p>
    <w:p w14:paraId="62C7E360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15061, </w:t>
      </w:r>
      <w:r>
        <w:rPr>
          <w:rFonts w:hint="eastAsia" w:ascii="Times" w:hAnsi="Times" w:eastAsia="宋体"/>
          <w:b w:val="0"/>
          <w:sz w:val="20"/>
          <w:lang w:eastAsia="zh-CN"/>
        </w:rPr>
        <w:t>Way Forward for [116bis][315] A-IoT_device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</w:t>
      </w:r>
    </w:p>
    <w:p w14:paraId="00B2099E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12134, </w:t>
      </w:r>
      <w:r>
        <w:rPr>
          <w:rFonts w:hint="eastAsia" w:ascii="Times" w:hAnsi="Times" w:eastAsia="宋体"/>
          <w:b w:val="0"/>
          <w:sz w:val="20"/>
          <w:lang w:eastAsia="zh-CN"/>
        </w:rPr>
        <w:t>WF on RRM for Ambient_IoT_Solutions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</w:t>
      </w:r>
    </w:p>
    <w:p w14:paraId="3CED6062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R4-2508275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Ambient_IoT_Solutions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</w:t>
      </w:r>
    </w:p>
    <w:p w14:paraId="2E8D8ED0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11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R4-2504905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RRM requirements for Ambient_IoT_Solutions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CMCC</w:t>
      </w:r>
    </w:p>
    <w:p w14:paraId="24E42CB0">
      <w:pPr>
        <w:pStyle w:val="14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231A50B7">
      <w:pPr>
        <w:pStyle w:val="14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0A523C19">
      <w:pPr>
        <w:pStyle w:val="14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0EEF2378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4EBD7E"/>
    <w:multiLevelType w:val="singleLevel"/>
    <w:tmpl w:val="B44EBD7E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</w:abstractNum>
  <w:abstractNum w:abstractNumId="1">
    <w:nsid w:val="F171F7D1"/>
    <w:multiLevelType w:val="singleLevel"/>
    <w:tmpl w:val="F171F7D1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321D4705"/>
    <w:multiLevelType w:val="multilevel"/>
    <w:tmpl w:val="321D4705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82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84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26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168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10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294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360"/>
        </w:tabs>
        <w:ind w:left="4200" w:hanging="420"/>
      </w:pPr>
      <w:rPr>
        <w:rFonts w:hint="default" w:ascii="Wingdings" w:hAnsi="Wingdings"/>
      </w:rPr>
    </w:lvl>
  </w:abstractNum>
  <w:abstractNum w:abstractNumId="5">
    <w:nsid w:val="46DF2B7E"/>
    <w:multiLevelType w:val="singleLevel"/>
    <w:tmpl w:val="46DF2B7E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</w:abstractNum>
  <w:abstractNum w:abstractNumId="6">
    <w:nsid w:val="49905F6F"/>
    <w:multiLevelType w:val="singleLevel"/>
    <w:tmpl w:val="49905F6F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8">
    <w:nsid w:val="5C667695"/>
    <w:multiLevelType w:val="singleLevel"/>
    <w:tmpl w:val="5C667695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9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4508A"/>
    <w:rsid w:val="01AF6A99"/>
    <w:rsid w:val="03EA2651"/>
    <w:rsid w:val="067803E8"/>
    <w:rsid w:val="06A50B76"/>
    <w:rsid w:val="06BB2083"/>
    <w:rsid w:val="08375E63"/>
    <w:rsid w:val="08511850"/>
    <w:rsid w:val="08D72A91"/>
    <w:rsid w:val="0A7648BF"/>
    <w:rsid w:val="0A7A49BE"/>
    <w:rsid w:val="0A922065"/>
    <w:rsid w:val="0ACC294E"/>
    <w:rsid w:val="0BB44D87"/>
    <w:rsid w:val="0BED0F30"/>
    <w:rsid w:val="0CBD16F5"/>
    <w:rsid w:val="0CD8520D"/>
    <w:rsid w:val="0DD40EBD"/>
    <w:rsid w:val="0E367C5D"/>
    <w:rsid w:val="0EB9159E"/>
    <w:rsid w:val="11604C92"/>
    <w:rsid w:val="11D129C7"/>
    <w:rsid w:val="12236F4E"/>
    <w:rsid w:val="13057541"/>
    <w:rsid w:val="1364390A"/>
    <w:rsid w:val="137E5A09"/>
    <w:rsid w:val="15984173"/>
    <w:rsid w:val="18695D62"/>
    <w:rsid w:val="19A91D8B"/>
    <w:rsid w:val="19CE05F3"/>
    <w:rsid w:val="1B65127F"/>
    <w:rsid w:val="1CB317C0"/>
    <w:rsid w:val="1F9F6471"/>
    <w:rsid w:val="1FCF11BE"/>
    <w:rsid w:val="20282B52"/>
    <w:rsid w:val="20372402"/>
    <w:rsid w:val="20814F9D"/>
    <w:rsid w:val="208805ED"/>
    <w:rsid w:val="20F766A2"/>
    <w:rsid w:val="22ED6B5D"/>
    <w:rsid w:val="23046067"/>
    <w:rsid w:val="25DF10AE"/>
    <w:rsid w:val="26121144"/>
    <w:rsid w:val="27DC69EE"/>
    <w:rsid w:val="29EC29E9"/>
    <w:rsid w:val="2A552882"/>
    <w:rsid w:val="2BAB550B"/>
    <w:rsid w:val="2BD8717A"/>
    <w:rsid w:val="2C7F23A1"/>
    <w:rsid w:val="2CB20162"/>
    <w:rsid w:val="2D2B45A9"/>
    <w:rsid w:val="2E8A1F67"/>
    <w:rsid w:val="2FCE1F78"/>
    <w:rsid w:val="31174DA4"/>
    <w:rsid w:val="318E5C54"/>
    <w:rsid w:val="31E51409"/>
    <w:rsid w:val="32886F74"/>
    <w:rsid w:val="330C088E"/>
    <w:rsid w:val="33552E44"/>
    <w:rsid w:val="3555506A"/>
    <w:rsid w:val="37187417"/>
    <w:rsid w:val="37764AE1"/>
    <w:rsid w:val="38A21551"/>
    <w:rsid w:val="3A684100"/>
    <w:rsid w:val="3AA52A15"/>
    <w:rsid w:val="3AE94533"/>
    <w:rsid w:val="3B8D0A22"/>
    <w:rsid w:val="3C0E0A5C"/>
    <w:rsid w:val="3CCE58E4"/>
    <w:rsid w:val="3EC83B67"/>
    <w:rsid w:val="3F0D09C6"/>
    <w:rsid w:val="3F3E1E72"/>
    <w:rsid w:val="3FE206D5"/>
    <w:rsid w:val="40BB4940"/>
    <w:rsid w:val="40C377CE"/>
    <w:rsid w:val="40C81012"/>
    <w:rsid w:val="40FB31AB"/>
    <w:rsid w:val="41C932CA"/>
    <w:rsid w:val="43247753"/>
    <w:rsid w:val="43394480"/>
    <w:rsid w:val="445554AC"/>
    <w:rsid w:val="44767BDF"/>
    <w:rsid w:val="44FF5255"/>
    <w:rsid w:val="46CC1F51"/>
    <w:rsid w:val="46ED24A2"/>
    <w:rsid w:val="487E0D7E"/>
    <w:rsid w:val="4AD7736C"/>
    <w:rsid w:val="4B3621F1"/>
    <w:rsid w:val="4B8A3F84"/>
    <w:rsid w:val="4CD27092"/>
    <w:rsid w:val="4D416DCE"/>
    <w:rsid w:val="4D594475"/>
    <w:rsid w:val="4DF27705"/>
    <w:rsid w:val="4EA24A37"/>
    <w:rsid w:val="4FDF2F1A"/>
    <w:rsid w:val="514E65F3"/>
    <w:rsid w:val="52792A2B"/>
    <w:rsid w:val="532C2301"/>
    <w:rsid w:val="53A71C4B"/>
    <w:rsid w:val="554C3600"/>
    <w:rsid w:val="56A82864"/>
    <w:rsid w:val="572A2B91"/>
    <w:rsid w:val="57551E0F"/>
    <w:rsid w:val="578135A0"/>
    <w:rsid w:val="58234C98"/>
    <w:rsid w:val="58BC54DF"/>
    <w:rsid w:val="5ACF2987"/>
    <w:rsid w:val="5AEC4941"/>
    <w:rsid w:val="5CCE66D5"/>
    <w:rsid w:val="5E3A5D61"/>
    <w:rsid w:val="5F3131BC"/>
    <w:rsid w:val="5FD0250C"/>
    <w:rsid w:val="603B0CB0"/>
    <w:rsid w:val="60541D9A"/>
    <w:rsid w:val="608D5359"/>
    <w:rsid w:val="60BD0047"/>
    <w:rsid w:val="620C10EB"/>
    <w:rsid w:val="622E6B46"/>
    <w:rsid w:val="624C0D43"/>
    <w:rsid w:val="63504103"/>
    <w:rsid w:val="63F97611"/>
    <w:rsid w:val="64805613"/>
    <w:rsid w:val="65B3796C"/>
    <w:rsid w:val="665A5356"/>
    <w:rsid w:val="6684087E"/>
    <w:rsid w:val="67125837"/>
    <w:rsid w:val="679A112F"/>
    <w:rsid w:val="679D5A27"/>
    <w:rsid w:val="681151C8"/>
    <w:rsid w:val="6A360751"/>
    <w:rsid w:val="6BC309B6"/>
    <w:rsid w:val="6CCC0D88"/>
    <w:rsid w:val="6D6E1218"/>
    <w:rsid w:val="6F9C23FB"/>
    <w:rsid w:val="70BF608B"/>
    <w:rsid w:val="70EF3E1D"/>
    <w:rsid w:val="729713FF"/>
    <w:rsid w:val="738E7E4C"/>
    <w:rsid w:val="73BF0E77"/>
    <w:rsid w:val="73FD7D23"/>
    <w:rsid w:val="74B46F86"/>
    <w:rsid w:val="74BC5500"/>
    <w:rsid w:val="750352FD"/>
    <w:rsid w:val="7505015D"/>
    <w:rsid w:val="751F6501"/>
    <w:rsid w:val="75264FF6"/>
    <w:rsid w:val="759E7B54"/>
    <w:rsid w:val="76542E2F"/>
    <w:rsid w:val="76B367FD"/>
    <w:rsid w:val="776F2970"/>
    <w:rsid w:val="78047EB1"/>
    <w:rsid w:val="78417632"/>
    <w:rsid w:val="7AAC00BD"/>
    <w:rsid w:val="7AFC5AB2"/>
    <w:rsid w:val="7B4836CD"/>
    <w:rsid w:val="7D6C7155"/>
    <w:rsid w:val="7D997FC8"/>
    <w:rsid w:val="7DC1309B"/>
    <w:rsid w:val="7DF870B2"/>
    <w:rsid w:val="7E2F6E92"/>
    <w:rsid w:val="7F0326EE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List 2"/>
    <w:basedOn w:val="8"/>
    <w:qFormat/>
    <w:uiPriority w:val="0"/>
    <w:pPr>
      <w:ind w:left="851"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11">
    <w:name w:val="Table Grid"/>
    <w:basedOn w:val="10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">
    <w:name w:val="TAH"/>
    <w:basedOn w:val="17"/>
    <w:qFormat/>
    <w:uiPriority w:val="0"/>
    <w:rPr>
      <w:b/>
    </w:rPr>
  </w:style>
  <w:style w:type="paragraph" w:customStyle="1" w:styleId="17">
    <w:name w:val="TAC"/>
    <w:basedOn w:val="18"/>
    <w:qFormat/>
    <w:uiPriority w:val="0"/>
    <w:pPr>
      <w:jc w:val="center"/>
    </w:pPr>
  </w:style>
  <w:style w:type="paragraph" w:customStyle="1" w:styleId="1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9">
    <w:name w:val="TAN"/>
    <w:basedOn w:val="18"/>
    <w:qFormat/>
    <w:uiPriority w:val="0"/>
    <w:pPr>
      <w:ind w:left="851" w:hanging="851"/>
    </w:pPr>
  </w:style>
  <w:style w:type="paragraph" w:customStyle="1" w:styleId="20">
    <w:name w:val="B2"/>
    <w:basedOn w:val="7"/>
    <w:qFormat/>
    <w:uiPriority w:val="0"/>
  </w:style>
  <w:style w:type="paragraph" w:customStyle="1" w:styleId="21">
    <w:name w:val="0 Main text"/>
    <w:basedOn w:val="1"/>
    <w:qFormat/>
    <w:uiPriority w:val="0"/>
    <w:pPr>
      <w:jc w:val="both"/>
    </w:pPr>
    <w:rPr>
      <w:rFonts w:ascii="Times New Roman" w:hAnsi="Times New Roman" w:eastAsia="Malgun Gothic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2024-11-01T08:46:00Z</dcterms:created>
  <dc:creator>cmcc</dc:creator>
  <cp:lastModifiedBy>Jingjing_CMCC</cp:lastModifiedBy>
  <dcterms:modified xsi:type="dcterms:W3CDTF">2026-01-30T06:29:05Z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D7914810C25943A9B23237FB063E3B17</vt:lpwstr>
  </property>
</Properties>
</file>